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color w:val="000000"/>
          <w:sz w:val="44"/>
          <w:szCs w:val="44"/>
        </w:rPr>
      </w:pPr>
      <w:r>
        <w:rPr>
          <w:rFonts w:ascii="宋体" w:hAnsi="宋体" w:cs="宋体"/>
          <w:b/>
          <w:color w:val="000000"/>
          <w:sz w:val="44"/>
          <w:szCs w:val="44"/>
        </w:rPr>
        <w:t>201</w:t>
      </w: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9</w:t>
      </w:r>
      <w:r>
        <w:rPr>
          <w:rFonts w:hint="eastAsia" w:ascii="宋体" w:hAnsi="宋体" w:cs="宋体"/>
          <w:b/>
          <w:color w:val="000000"/>
          <w:sz w:val="44"/>
          <w:szCs w:val="44"/>
        </w:rPr>
        <w:t>年山西省青少年乒乓球积分赛</w:t>
      </w:r>
    </w:p>
    <w:p>
      <w:pPr>
        <w:jc w:val="center"/>
        <w:rPr>
          <w:rFonts w:asci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竞赛规程</w:t>
      </w:r>
    </w:p>
    <w:p>
      <w:pPr>
        <w:pStyle w:val="2"/>
        <w:widowControl/>
        <w:spacing w:beforeAutospacing="0" w:afterAutospacing="0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 一、主办单位 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山西省球类运动管理中心</w:t>
      </w:r>
    </w:p>
    <w:p>
      <w:pPr>
        <w:pStyle w:val="2"/>
        <w:widowControl/>
        <w:numPr>
          <w:ilvl w:val="0"/>
          <w:numId w:val="1"/>
        </w:numPr>
        <w:spacing w:beforeAutospacing="0" w:afterAutospacing="0"/>
        <w:ind w:firstLine="660"/>
        <w:rPr>
          <w:rStyle w:val="4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承办单位</w:t>
      </w:r>
    </w:p>
    <w:p>
      <w:pPr>
        <w:pStyle w:val="2"/>
        <w:widowControl/>
        <w:numPr>
          <w:ilvl w:val="0"/>
          <w:numId w:val="0"/>
        </w:numPr>
        <w:spacing w:beforeAutospacing="0" w:afterAutospacing="0"/>
        <w:ind w:firstLine="640" w:firstLineChars="200"/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第一站：</w:t>
      </w: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</w:rPr>
        <w:t>太原市体育局</w:t>
      </w:r>
    </w:p>
    <w:p>
      <w:pPr>
        <w:pStyle w:val="2"/>
        <w:widowControl/>
        <w:spacing w:beforeAutospacing="0" w:afterAutospacing="0"/>
        <w:ind w:firstLine="660"/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第二站：</w:t>
      </w: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</w:rPr>
        <w:t>运城市体育局</w:t>
      </w:r>
    </w:p>
    <w:p>
      <w:pPr>
        <w:pStyle w:val="2"/>
        <w:widowControl/>
        <w:spacing w:beforeAutospacing="0" w:afterAutospacing="0"/>
        <w:ind w:firstLine="660"/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</w:pP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第三站：（待定）</w:t>
      </w:r>
    </w:p>
    <w:p>
      <w:pPr>
        <w:pStyle w:val="2"/>
        <w:widowControl/>
        <w:numPr>
          <w:ilvl w:val="0"/>
          <w:numId w:val="0"/>
        </w:numPr>
        <w:spacing w:beforeAutospacing="0" w:afterAutospacing="0"/>
        <w:ind w:left="436" w:leftChars="0" w:firstLine="321" w:firstLineChars="100"/>
        <w:rPr>
          <w:rStyle w:val="4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lang w:eastAsia="zh-CN"/>
        </w:rPr>
        <w:t>三、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 xml:space="preserve">协办单位 </w:t>
      </w:r>
    </w:p>
    <w:p>
      <w:pPr>
        <w:pStyle w:val="2"/>
        <w:widowControl/>
        <w:numPr>
          <w:ilvl w:val="0"/>
          <w:numId w:val="0"/>
        </w:numPr>
        <w:spacing w:beforeAutospacing="0" w:afterAutospacing="0"/>
        <w:ind w:left="436" w:leftChars="0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第一站：</w:t>
      </w:r>
      <w:r>
        <w:rPr>
          <w:rFonts w:hint="eastAsia" w:ascii="仿宋" w:hAnsi="仿宋" w:eastAsia="仿宋" w:cs="仿宋"/>
          <w:sz w:val="32"/>
          <w:szCs w:val="32"/>
        </w:rPr>
        <w:t>山西星羽文化体育有限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责任</w:t>
      </w:r>
      <w:r>
        <w:rPr>
          <w:rFonts w:hint="eastAsia" w:ascii="仿宋" w:hAnsi="仿宋" w:eastAsia="仿宋" w:cs="仿宋"/>
          <w:sz w:val="32"/>
          <w:szCs w:val="32"/>
        </w:rPr>
        <w:t>公司</w:t>
      </w:r>
    </w:p>
    <w:p>
      <w:pPr>
        <w:pStyle w:val="2"/>
        <w:widowControl/>
        <w:numPr>
          <w:ilvl w:val="0"/>
          <w:numId w:val="0"/>
        </w:numPr>
        <w:spacing w:beforeAutospacing="0" w:afterAutospacing="0"/>
        <w:ind w:left="754" w:leftChars="359" w:firstLine="0" w:firstLineChars="0"/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</w:pP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第二站：</w:t>
      </w:r>
      <w:r>
        <w:rPr>
          <w:rFonts w:hint="eastAsia" w:ascii="仿宋_GB2312" w:hAnsi="仿宋_GB2312" w:eastAsia="仿宋_GB2312" w:cs="仿宋_GB2312"/>
          <w:sz w:val="32"/>
          <w:szCs w:val="32"/>
        </w:rPr>
        <w:t>运城市乒乓球游泳训练学校青少年体育俱乐部</w:t>
      </w:r>
      <w:r>
        <w:rPr>
          <w:rStyle w:val="4"/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第三站：（待定）</w:t>
      </w:r>
    </w:p>
    <w:p>
      <w:pPr>
        <w:pStyle w:val="2"/>
        <w:widowControl/>
        <w:numPr>
          <w:ilvl w:val="0"/>
          <w:numId w:val="0"/>
        </w:numPr>
        <w:spacing w:beforeAutospacing="0" w:afterAutospacing="0"/>
        <w:ind w:left="436" w:leftChars="0" w:firstLine="321" w:firstLineChars="100"/>
        <w:rPr>
          <w:rStyle w:val="4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四、 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赛事合作伙伴</w:t>
      </w:r>
    </w:p>
    <w:p>
      <w:pPr>
        <w:pStyle w:val="2"/>
        <w:widowControl/>
        <w:numPr>
          <w:ilvl w:val="0"/>
          <w:numId w:val="0"/>
        </w:numPr>
        <w:spacing w:beforeAutospacing="0" w:afterAutospacing="0"/>
        <w:ind w:left="436" w:leftChars="0" w:firstLine="320" w:firstLineChars="100"/>
        <w:rPr>
          <w:rStyle w:val="4"/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广州合赋体育用品有限公司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   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 xml:space="preserve"> 五、比赛时间、地点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第一站：太原 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201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日-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日</w:t>
      </w:r>
    </w:p>
    <w:p>
      <w:pPr>
        <w:pStyle w:val="2"/>
        <w:widowControl/>
        <w:spacing w:beforeAutospacing="0" w:afterAutospacing="0"/>
        <w:ind w:firstLine="320" w:firstLineChars="100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第二站：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运城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201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日-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日</w:t>
      </w:r>
    </w:p>
    <w:p>
      <w:pPr>
        <w:pStyle w:val="2"/>
        <w:widowControl/>
        <w:spacing w:beforeAutospacing="0" w:afterAutospacing="0"/>
        <w:ind w:firstLine="280" w:firstLineChars="100"/>
        <w:rPr>
          <w:rFonts w:hint="default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 xml:space="preserve">     第三站：总决赛（待定）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    六、参赛单位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各市体育局、各市乒乓球协会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   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 xml:space="preserve"> 七、竞赛项目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-20"/>
          <w:sz w:val="32"/>
          <w:szCs w:val="32"/>
        </w:rPr>
        <w:t> </w:t>
      </w:r>
      <w:r>
        <w:rPr>
          <w:rFonts w:hint="eastAsia" w:ascii="仿宋" w:hAnsi="仿宋" w:eastAsia="仿宋" w:cs="仿宋"/>
          <w:color w:val="000000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-20"/>
          <w:sz w:val="32"/>
          <w:szCs w:val="32"/>
        </w:rPr>
        <w:t> 甲组：男子单打、女子单打、男子双打、女子双打、混合双打</w:t>
      </w:r>
    </w:p>
    <w:p>
      <w:pPr>
        <w:pStyle w:val="2"/>
        <w:widowControl/>
        <w:spacing w:beforeAutospacing="0" w:afterAutospacing="0"/>
        <w:ind w:firstLine="280" w:firstLineChars="100"/>
        <w:rPr>
          <w:rFonts w:hint="eastAsia" w:ascii="仿宋" w:hAnsi="仿宋" w:eastAsia="仿宋" w:cs="仿宋"/>
          <w:color w:val="000000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20"/>
          <w:sz w:val="32"/>
          <w:szCs w:val="32"/>
        </w:rPr>
        <w:t>   </w:t>
      </w:r>
      <w:r>
        <w:rPr>
          <w:rFonts w:hint="eastAsia" w:ascii="仿宋" w:hAnsi="仿宋" w:eastAsia="仿宋" w:cs="仿宋"/>
          <w:color w:val="000000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-20"/>
          <w:sz w:val="32"/>
          <w:szCs w:val="32"/>
        </w:rPr>
        <w:t> 乙组：男子单打、女子单打、男子双打、女子双打、混合双打</w:t>
      </w:r>
    </w:p>
    <w:p>
      <w:pPr>
        <w:pStyle w:val="2"/>
        <w:widowControl/>
        <w:spacing w:beforeAutospacing="0" w:afterAutospacing="0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丙组：男子单打、女子单打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  丁组：男子单打、女子单打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 xml:space="preserve">    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八、参赛办法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（一）全省中小学在校学生及乒乓球俱乐部，以市体育局为单位进行报名，每队可报领队1人，教练员1-5人，运动员报名人数不限。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   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（二）各组别年龄规定：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甲组：16-18岁（200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年1月1日-200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年12月31日）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 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乙组：13-15岁（200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年1月1日-200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年12月31日）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 丙组：11-12岁（200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年1月1日-200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年12月31日）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 丁组：10岁以下（20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年1月1日以后出生）　　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（三）参赛队不足3人队，取消该队比赛，将跨入大年龄组参赛。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（四）参赛运动员必须身体健康(须具备本人身体健康证明，以待查验)；如在比赛期间出现任何意外，责任自负。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（五）参赛运动员必须办理比赛期间的意外伤害保险。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（六）运动员参赛时必须携带山西省公安机关颁发的身份证原件（丙组、丁组未办理身份证的运动员，必须携带户口本原件或当地派出所出具有本人照片的户籍证明）。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    九、竞赛办法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   (一)各组别参赛项目根据运动员报名人数确定竞赛办法。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（二）比赛采用国家体育总局乒乓球羽毛球运动管理中心最新审定的《乒乓球竞赛规则》，规则与规程发生矛盾时，按规程执行。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（三）比赛编排根据国家乒乓球最新规则，由裁判组结合年度系列比赛实际情况组织、实施并采用电脑编排抽签办法进行分组排列种子；第二站、第三站种子由一、二站积分排定。根据比赛人数，第一阶段取小组前两名，进入第二阶段。第二阶段采用淘汰赛，最终决出前八名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（四）抽签采用电脑抽签，不组织现场抽签。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（五）比赛使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用许绍发牌三星乒乓球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（六）规定比赛时间10分钟后不到场者按弃权论处。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（七）积分办法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 1、名次分：第一名：1400积分，第二名：1100积分，第三名：800积分，第四名600分，第五-八名：400积分，第九-十六名：200积分。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 2、场次分：运动员每参加一场比赛获得100积分（不论输赢）。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 3、运动员遇轮空，计入场次分；弃权方无积分。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 4、运动员本场比赛积分：名次分+场次分。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 5、参加双打比赛的运动员积分平分。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 6、运动员如违反竞赛规则、体育道德等不当行为，将会视情节严重给予扣除部分积分甚至全部积分的处罚。</w:t>
      </w:r>
    </w:p>
    <w:p>
      <w:pPr>
        <w:pStyle w:val="2"/>
        <w:widowControl/>
        <w:spacing w:beforeAutospacing="0" w:afterAutospacing="0"/>
        <w:ind w:firstLine="64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7、参加201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年山西省青少年积分赛1次以上的运动员，方能参加201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年山西省青少年锦标赛。</w:t>
      </w:r>
    </w:p>
    <w:p>
      <w:pPr>
        <w:pStyle w:val="2"/>
        <w:widowControl/>
        <w:spacing w:beforeAutospacing="0" w:afterAutospacing="0"/>
        <w:ind w:firstLine="64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8、积分靠前的运动员将设为201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年山西省青少年锦标赛种子。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（八）总决赛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 1、积分赛各站单打前16名、双打前8名的运动员参加总决赛。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 2、获得总积分前100名、双打积分总和前50名的运动员参加总决赛。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    十、录取名次与奖励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  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(一)分站赛：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各项比赛均录取前8名，参赛队或参赛运动员不足9队（人）者，录取名次递减。分站赛决出第一至第四名，第五至第八名并列；录取名次将获得主办单位颁发的获奖证书。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 (二)总决赛：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获得总决赛前8名的运动员将获得主办单位颁发的获奖证书及奖励。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十一、报名及报到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各参赛单位认真填写报名表（一式两份），按报名时间将报名表及电子版分别报山西省球类运动管理中心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、竞赛组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及分站赛承办单位。逾期报名或不使用统一报名表视为无效报名。</w:t>
      </w:r>
    </w:p>
    <w:p>
      <w:pPr>
        <w:pStyle w:val="2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积分赛各站联系人及比赛报名时间。</w:t>
      </w:r>
    </w:p>
    <w:p>
      <w:pPr>
        <w:pStyle w:val="2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山西省球类运动管理中心</w:t>
      </w:r>
    </w:p>
    <w:p>
      <w:pPr>
        <w:pStyle w:val="2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胡安娜</w:t>
      </w:r>
    </w:p>
    <w:p>
      <w:pPr>
        <w:pStyle w:val="2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  话：0351-7686574</w:t>
      </w:r>
    </w:p>
    <w:p>
      <w:pPr>
        <w:pStyle w:val="2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邮  箱：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sz w:val="32"/>
          <w:szCs w:val="32"/>
        </w:rPr>
        <w:instrText xml:space="preserve"> HYPERLINK "mailto:sxqlyd2017@163.com" </w:instrTex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000000"/>
          <w:sz w:val="32"/>
          <w:szCs w:val="32"/>
        </w:rPr>
        <w:t>sxqlyd2017@163.com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fldChar w:fldCharType="end"/>
      </w:r>
    </w:p>
    <w:p>
      <w:pPr>
        <w:pStyle w:val="2"/>
        <w:widowControl/>
        <w:spacing w:beforeAutospacing="0" w:afterAutospacing="0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eastAsia="zh-CN"/>
        </w:rPr>
        <w:t>竞赛组</w:t>
      </w:r>
    </w:p>
    <w:p>
      <w:pPr>
        <w:pStyle w:val="2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联系人：李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涛</w:t>
      </w:r>
    </w:p>
    <w:p>
      <w:pPr>
        <w:pStyle w:val="2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  话：13834115500</w:t>
      </w:r>
    </w:p>
    <w:p>
      <w:pPr>
        <w:pStyle w:val="2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邮  箱：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69898308@qq.com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太原站</w:t>
      </w:r>
    </w:p>
    <w:p>
      <w:pPr>
        <w:ind w:left="481" w:leftChars="229"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李古奇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left="481" w:leftChars="229" w:firstLine="160" w:firstLineChars="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  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18243123748    15513017821</w:t>
      </w:r>
    </w:p>
    <w:p>
      <w:pPr>
        <w:ind w:left="481" w:leftChars="229" w:firstLine="160" w:firstLineChars="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  箱：466190630@qq.com</w:t>
      </w:r>
    </w:p>
    <w:p>
      <w:pPr>
        <w:pStyle w:val="2"/>
        <w:widowControl/>
        <w:spacing w:beforeAutospacing="0" w:afterAutospacing="0"/>
        <w:ind w:firstLine="672" w:firstLineChars="21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报名截止时间：2018年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运城站</w:t>
      </w:r>
    </w:p>
    <w:p>
      <w:pPr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联系人：:卫雪婷</w:t>
      </w:r>
    </w:p>
    <w:p>
      <w:pPr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话：15835901566</w:t>
      </w:r>
    </w:p>
    <w:p>
      <w:pPr>
        <w:ind w:firstLine="627" w:firstLineChars="196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箱：:2268854499@qq.com</w:t>
      </w:r>
    </w:p>
    <w:p>
      <w:pPr>
        <w:ind w:left="481" w:leftChars="229" w:firstLine="160" w:firstLineChars="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报名截止时间：201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第三站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总决赛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（具体时间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地点待定）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  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十二、仲裁委员会与裁判长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(一)仲裁委员会：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1、仲裁委员会人员组成和职责范围按《国家体育总局仲裁委员会条例》规定执行。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2、仲裁委员会由山西省球类运动管理中心选派。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(二)赛区裁判长：</w:t>
      </w:r>
    </w:p>
    <w:p>
      <w:pPr>
        <w:pStyle w:val="2"/>
        <w:widowControl/>
        <w:spacing w:beforeAutospacing="0" w:afterAutospacing="0"/>
        <w:ind w:firstLine="320" w:firstLineChars="1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 1、裁判长由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山西省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球类运动管理中心选派。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　2、积分赛各站比赛第一阶段至第二阶段半决赛前采用1人裁判制，半决赛开始采用2人裁判制。总决赛将适当增加裁判员数量。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十三、其它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　(一)上场比赛前参赛队员必须出示身份证或户口本原件，经审核后方可上场参赛。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   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(二)比赛中运动员应服从裁判，有异议可通过裁判员向裁判长反映，裁判长的裁决为最终裁决。对裁判长的裁决有异议者，可向仲裁委员会提出申诉。无论什么原因造成比赛中断5分钟(经调解说服后计算)以上者，按罢赛处理，取消该场比赛资格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 (三)为了严肃赛纪赛风，保证比赛的顺利进行，对在比赛中有弄虚作假、无理取闹、拖延比赛、干扰比赛、罢赛等行为的参赛运动员按有关条款严肃处理。严格执行国家体育总局和省体育局有关竞赛纪律的规定。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  </w:t>
      </w: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 十四、未尽事宜由承办单位另行通知。</w:t>
      </w:r>
    </w:p>
    <w:p>
      <w:pPr>
        <w:pStyle w:val="2"/>
        <w:widowControl/>
        <w:spacing w:beforeAutospacing="0" w:afterAutospacing="0"/>
        <w:ind w:firstLine="321" w:firstLineChars="100"/>
        <w:rPr>
          <w:rStyle w:val="4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4"/>
          <w:rFonts w:hint="eastAsia" w:ascii="仿宋" w:hAnsi="仿宋" w:eastAsia="仿宋" w:cs="仿宋"/>
          <w:color w:val="000000"/>
          <w:sz w:val="32"/>
          <w:szCs w:val="32"/>
        </w:rPr>
        <w:t>十五、本规程解释权属于主办单位。</w:t>
      </w:r>
    </w:p>
    <w:p>
      <w:pPr>
        <w:pStyle w:val="2"/>
        <w:widowControl/>
        <w:spacing w:beforeAutospacing="0" w:afterAutospacing="0"/>
        <w:ind w:firstLine="645"/>
        <w:rPr>
          <w:rStyle w:val="4"/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</w:t>
      </w:r>
    </w:p>
    <w:p>
      <w:pPr>
        <w:pStyle w:val="2"/>
        <w:widowControl/>
        <w:spacing w:beforeAutospacing="0" w:afterAutospacing="0"/>
        <w:ind w:firstLine="6400" w:firstLineChars="20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2"/>
        <w:widowControl/>
        <w:spacing w:beforeAutospacing="0" w:afterAutospacing="0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</w:t>
      </w:r>
      <w:bookmarkStart w:id="0" w:name="_GoBack"/>
      <w:bookmarkEnd w:id="0"/>
    </w:p>
    <w:p>
      <w:pPr>
        <w:jc w:val="center"/>
        <w:rPr>
          <w:rFonts w:ascii="宋体" w:cs="宋体"/>
          <w:b/>
          <w:color w:val="00000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A44E0"/>
    <w:multiLevelType w:val="singleLevel"/>
    <w:tmpl w:val="3CFA44E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6C"/>
    <w:rsid w:val="00007822"/>
    <w:rsid w:val="00465EBA"/>
    <w:rsid w:val="004C0635"/>
    <w:rsid w:val="004C5859"/>
    <w:rsid w:val="004E147D"/>
    <w:rsid w:val="004E14CA"/>
    <w:rsid w:val="004F7489"/>
    <w:rsid w:val="005457AF"/>
    <w:rsid w:val="006B42EB"/>
    <w:rsid w:val="007174DB"/>
    <w:rsid w:val="00743CAD"/>
    <w:rsid w:val="00864DFD"/>
    <w:rsid w:val="00881AD8"/>
    <w:rsid w:val="00A2120C"/>
    <w:rsid w:val="00A61430"/>
    <w:rsid w:val="00A8761D"/>
    <w:rsid w:val="00A9706C"/>
    <w:rsid w:val="00AA0405"/>
    <w:rsid w:val="00AD5EE5"/>
    <w:rsid w:val="00B47A2F"/>
    <w:rsid w:val="00B94216"/>
    <w:rsid w:val="00CA78AB"/>
    <w:rsid w:val="00CD76E4"/>
    <w:rsid w:val="00CF0432"/>
    <w:rsid w:val="00E233EA"/>
    <w:rsid w:val="00E2456C"/>
    <w:rsid w:val="00E4551E"/>
    <w:rsid w:val="00E53315"/>
    <w:rsid w:val="00E57084"/>
    <w:rsid w:val="00EA0EF1"/>
    <w:rsid w:val="00FA2CCB"/>
    <w:rsid w:val="00FC1A69"/>
    <w:rsid w:val="00FE198F"/>
    <w:rsid w:val="06A46989"/>
    <w:rsid w:val="38F375E3"/>
    <w:rsid w:val="39AF1346"/>
    <w:rsid w:val="40F816A5"/>
    <w:rsid w:val="533D3767"/>
    <w:rsid w:val="5F1A7B8C"/>
    <w:rsid w:val="61CE69F7"/>
    <w:rsid w:val="685305CC"/>
    <w:rsid w:val="6A8D04FF"/>
    <w:rsid w:val="710840F7"/>
    <w:rsid w:val="734B7AF5"/>
    <w:rsid w:val="75E44EC2"/>
    <w:rsid w:val="7F5C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4">
    <w:name w:val="Strong"/>
    <w:basedOn w:val="3"/>
    <w:qFormat/>
    <w:uiPriority w:val="99"/>
    <w:rPr>
      <w:rFonts w:cs="Times New Roman"/>
      <w:b/>
    </w:rPr>
  </w:style>
  <w:style w:type="character" w:styleId="5">
    <w:name w:val="Hyperlink"/>
    <w:basedOn w:val="3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397</Words>
  <Characters>2267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Autism（孤独症）</cp:lastModifiedBy>
  <cp:lastPrinted>2018-02-12T03:23:00Z</cp:lastPrinted>
  <dcterms:modified xsi:type="dcterms:W3CDTF">2019-08-23T01:50:13Z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